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5A" w:rsidRPr="0015685A" w:rsidRDefault="0015685A" w:rsidP="0015685A">
      <w:pPr>
        <w:shd w:val="clear" w:color="auto" w:fill="FFFFFF"/>
        <w:spacing w:before="180" w:after="0" w:line="240" w:lineRule="auto"/>
        <w:outlineLvl w:val="2"/>
        <w:rPr>
          <w:rFonts w:ascii="Times New Roman" w:eastAsia="Times New Roman" w:hAnsi="Times New Roman" w:cs="Times New Roman"/>
          <w:b/>
          <w:bCs/>
          <w:color w:val="111111"/>
          <w:sz w:val="42"/>
          <w:szCs w:val="42"/>
          <w:lang w:eastAsia="es-ES"/>
        </w:rPr>
      </w:pPr>
      <w:r w:rsidRPr="0015685A">
        <w:rPr>
          <w:rFonts w:ascii="Times New Roman" w:eastAsia="Times New Roman" w:hAnsi="Times New Roman" w:cs="Times New Roman"/>
          <w:b/>
          <w:bCs/>
          <w:color w:val="111111"/>
          <w:sz w:val="42"/>
          <w:szCs w:val="42"/>
          <w:lang w:eastAsia="es-ES"/>
        </w:rPr>
        <w:fldChar w:fldCharType="begin"/>
      </w:r>
      <w:r w:rsidRPr="0015685A">
        <w:rPr>
          <w:rFonts w:ascii="Times New Roman" w:eastAsia="Times New Roman" w:hAnsi="Times New Roman" w:cs="Times New Roman"/>
          <w:b/>
          <w:bCs/>
          <w:color w:val="111111"/>
          <w:sz w:val="42"/>
          <w:szCs w:val="42"/>
          <w:lang w:eastAsia="es-ES"/>
        </w:rPr>
        <w:instrText xml:space="preserve"> HYPERLINK "http://www.laopiniondealmeria.com/2014/11/las-distintas-varas-de-medir-de-susana.html" </w:instrText>
      </w:r>
      <w:r w:rsidRPr="0015685A">
        <w:rPr>
          <w:rFonts w:ascii="Times New Roman" w:eastAsia="Times New Roman" w:hAnsi="Times New Roman" w:cs="Times New Roman"/>
          <w:b/>
          <w:bCs/>
          <w:color w:val="111111"/>
          <w:sz w:val="42"/>
          <w:szCs w:val="42"/>
          <w:lang w:eastAsia="es-ES"/>
        </w:rPr>
        <w:fldChar w:fldCharType="separate"/>
      </w:r>
      <w:r w:rsidRPr="0015685A">
        <w:rPr>
          <w:rFonts w:ascii="Times New Roman" w:eastAsia="Times New Roman" w:hAnsi="Times New Roman" w:cs="Times New Roman"/>
          <w:b/>
          <w:bCs/>
          <w:color w:val="CC0000"/>
          <w:sz w:val="42"/>
          <w:lang w:eastAsia="es-ES"/>
        </w:rPr>
        <w:t>Las distintas varas de medir de Susana Díaz</w:t>
      </w:r>
      <w:r w:rsidRPr="0015685A">
        <w:rPr>
          <w:rFonts w:ascii="Times New Roman" w:eastAsia="Times New Roman" w:hAnsi="Times New Roman" w:cs="Times New Roman"/>
          <w:b/>
          <w:bCs/>
          <w:color w:val="111111"/>
          <w:sz w:val="42"/>
          <w:szCs w:val="42"/>
          <w:lang w:eastAsia="es-ES"/>
        </w:rPr>
        <w:fldChar w:fldCharType="end"/>
      </w:r>
    </w:p>
    <w:p w:rsidR="0015685A" w:rsidRPr="0015685A" w:rsidRDefault="0015685A" w:rsidP="0015685A">
      <w:pPr>
        <w:shd w:val="clear" w:color="auto" w:fill="FFFFFF"/>
        <w:spacing w:after="0" w:line="240" w:lineRule="auto"/>
        <w:jc w:val="center"/>
        <w:rPr>
          <w:rFonts w:ascii="Arial" w:eastAsia="Times New Roman" w:hAnsi="Arial" w:cs="Arial"/>
          <w:color w:val="111111"/>
          <w:sz w:val="17"/>
          <w:szCs w:val="17"/>
          <w:lang w:eastAsia="es-ES"/>
        </w:rPr>
      </w:pPr>
      <w:r>
        <w:rPr>
          <w:rFonts w:ascii="Arial" w:eastAsia="Times New Roman" w:hAnsi="Arial" w:cs="Arial"/>
          <w:noProof/>
          <w:color w:val="CC0000"/>
          <w:sz w:val="17"/>
          <w:szCs w:val="17"/>
          <w:lang w:eastAsia="es-ES"/>
        </w:rPr>
        <w:drawing>
          <wp:inline distT="0" distB="0" distL="0" distR="0">
            <wp:extent cx="685800" cy="685800"/>
            <wp:effectExtent l="19050" t="0" r="0" b="0"/>
            <wp:docPr id="1" name="Imagen 1" descr="http://1.bp.blogspot.com/-HGbhRAKSXHA/VHGcWytyYSI/AAAAAAAArF8/Rwq2GTnPJE4/s1600/Jorge%2BLirol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HGbhRAKSXHA/VHGcWytyYSI/AAAAAAAArF8/Rwq2GTnPJE4/s1600/Jorge%2BLirola.jpg">
                      <a:hlinkClick r:id="rId4"/>
                    </pic:cNvPr>
                    <pic:cNvPicPr>
                      <a:picLocks noChangeAspect="1" noChangeArrowheads="1"/>
                    </pic:cNvPicPr>
                  </pic:nvPicPr>
                  <pic:blipFill>
                    <a:blip r:embed="rId5"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r w:rsidRPr="0015685A">
        <w:rPr>
          <w:rFonts w:ascii="Arial" w:eastAsia="Times New Roman" w:hAnsi="Arial" w:cs="Arial"/>
          <w:b/>
          <w:bCs/>
          <w:color w:val="111111"/>
          <w:sz w:val="36"/>
          <w:szCs w:val="36"/>
          <w:lang w:eastAsia="es-ES"/>
        </w:rPr>
        <w:t xml:space="preserve">Jorge </w:t>
      </w:r>
      <w:proofErr w:type="spellStart"/>
      <w:r w:rsidRPr="0015685A">
        <w:rPr>
          <w:rFonts w:ascii="Arial" w:eastAsia="Times New Roman" w:hAnsi="Arial" w:cs="Arial"/>
          <w:b/>
          <w:bCs/>
          <w:color w:val="111111"/>
          <w:sz w:val="36"/>
          <w:szCs w:val="36"/>
          <w:lang w:eastAsia="es-ES"/>
        </w:rPr>
        <w:t>Lirola</w:t>
      </w:r>
      <w:proofErr w:type="spellEnd"/>
      <w:r w:rsidRPr="0015685A">
        <w:rPr>
          <w:rFonts w:ascii="Arial" w:eastAsia="Times New Roman" w:hAnsi="Arial" w:cs="Arial"/>
          <w:b/>
          <w:bCs/>
          <w:color w:val="111111"/>
          <w:sz w:val="36"/>
          <w:szCs w:val="36"/>
          <w:lang w:eastAsia="es-ES"/>
        </w:rPr>
        <w:t xml:space="preserve"> Delgado</w:t>
      </w: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r w:rsidRPr="0015685A">
        <w:rPr>
          <w:rFonts w:ascii="Arial" w:eastAsia="Times New Roman" w:hAnsi="Arial" w:cs="Arial"/>
          <w:b/>
          <w:bCs/>
          <w:color w:val="111111"/>
          <w:sz w:val="17"/>
          <w:szCs w:val="17"/>
          <w:lang w:eastAsia="es-ES"/>
        </w:rPr>
        <w:t>Profesor de</w:t>
      </w:r>
      <w:r w:rsidRPr="0015685A">
        <w:rPr>
          <w:rFonts w:ascii="Arial" w:eastAsia="Times New Roman" w:hAnsi="Arial" w:cs="Arial"/>
          <w:b/>
          <w:bCs/>
          <w:color w:val="111111"/>
          <w:sz w:val="17"/>
          <w:lang w:eastAsia="es-ES"/>
        </w:rPr>
        <w:t> </w:t>
      </w:r>
      <w:r w:rsidRPr="0015685A">
        <w:rPr>
          <w:rFonts w:ascii="Arial" w:eastAsia="Times New Roman" w:hAnsi="Arial" w:cs="Arial"/>
          <w:b/>
          <w:bCs/>
          <w:color w:val="111111"/>
          <w:sz w:val="17"/>
          <w:szCs w:val="17"/>
          <w:lang w:eastAsia="es-ES"/>
        </w:rPr>
        <w:t>la Universidad</w:t>
      </w:r>
      <w:r w:rsidRPr="0015685A">
        <w:rPr>
          <w:rFonts w:ascii="Arial" w:eastAsia="Times New Roman" w:hAnsi="Arial" w:cs="Arial"/>
          <w:b/>
          <w:bCs/>
          <w:color w:val="111111"/>
          <w:sz w:val="17"/>
          <w:lang w:eastAsia="es-ES"/>
        </w:rPr>
        <w:t> </w:t>
      </w:r>
      <w:r w:rsidRPr="0015685A">
        <w:rPr>
          <w:rFonts w:ascii="Arial" w:eastAsia="Times New Roman" w:hAnsi="Arial" w:cs="Arial"/>
          <w:b/>
          <w:bCs/>
          <w:color w:val="111111"/>
          <w:sz w:val="17"/>
          <w:szCs w:val="17"/>
          <w:lang w:eastAsia="es-ES"/>
        </w:rPr>
        <w:t>de Almería</w:t>
      </w: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r w:rsidRPr="0015685A">
        <w:rPr>
          <w:rFonts w:ascii="Arial" w:eastAsia="Times New Roman" w:hAnsi="Arial" w:cs="Arial"/>
          <w:color w:val="111111"/>
          <w:sz w:val="17"/>
          <w:szCs w:val="17"/>
          <w:lang w:eastAsia="es-ES"/>
        </w:rPr>
        <w:t xml:space="preserve">Seguramente se podrían poner muchos ejemplos, pero voy a referirme solo a uno de los casos que conozco y he constatado directamente. Se trata de la aplicación de las leyes de incompatibilidades. Es noticia estos días que Iñigo </w:t>
      </w:r>
      <w:proofErr w:type="spellStart"/>
      <w:r w:rsidRPr="0015685A">
        <w:rPr>
          <w:rFonts w:ascii="Arial" w:eastAsia="Times New Roman" w:hAnsi="Arial" w:cs="Arial"/>
          <w:color w:val="111111"/>
          <w:sz w:val="17"/>
          <w:szCs w:val="17"/>
          <w:lang w:eastAsia="es-ES"/>
        </w:rPr>
        <w:t>Errejón</w:t>
      </w:r>
      <w:proofErr w:type="spellEnd"/>
      <w:r w:rsidRPr="0015685A">
        <w:rPr>
          <w:rFonts w:ascii="Arial" w:eastAsia="Times New Roman" w:hAnsi="Arial" w:cs="Arial"/>
          <w:color w:val="111111"/>
          <w:sz w:val="17"/>
          <w:szCs w:val="17"/>
          <w:lang w:eastAsia="es-ES"/>
        </w:rPr>
        <w:t>, de Podemos, ha podido vulnerar una ley de incompatibilidades al cobrar de</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Universidad</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 Málaga y de la ya formación política al mismo tiempo. Rápidamente se le ha abierto un expediente y</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presidenta</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Junta</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 Andalucía, Susana Díaz, no ha tardado en decir que está a la espera de que se resuelva para, dado el caso, exigir la devolución del dinero.</w:t>
      </w: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p>
    <w:tbl>
      <w:tblPr>
        <w:tblW w:w="0" w:type="auto"/>
        <w:tblCellSpacing w:w="0" w:type="dxa"/>
        <w:tblInd w:w="240" w:type="dxa"/>
        <w:tblBorders>
          <w:top w:val="single" w:sz="6" w:space="0" w:color="EEEEEE"/>
          <w:left w:val="single" w:sz="6" w:space="0" w:color="EEEEEE"/>
          <w:bottom w:val="single" w:sz="6" w:space="0" w:color="EEEEEE"/>
          <w:right w:val="single" w:sz="6" w:space="0" w:color="EEEEEE"/>
        </w:tblBorders>
        <w:shd w:val="clear" w:color="auto" w:fill="FFFFFF"/>
        <w:tblCellMar>
          <w:top w:w="69" w:type="dxa"/>
          <w:left w:w="69" w:type="dxa"/>
          <w:bottom w:w="69" w:type="dxa"/>
          <w:right w:w="69" w:type="dxa"/>
        </w:tblCellMar>
        <w:tblLook w:val="04A0"/>
      </w:tblPr>
      <w:tblGrid>
        <w:gridCol w:w="2483"/>
      </w:tblGrid>
      <w:tr w:rsidR="0015685A" w:rsidRPr="0015685A" w:rsidTr="0015685A">
        <w:trPr>
          <w:tblCellSpacing w:w="0" w:type="dxa"/>
        </w:trPr>
        <w:tc>
          <w:tcPr>
            <w:tcW w:w="0" w:type="auto"/>
            <w:shd w:val="clear" w:color="auto" w:fill="FFFFFF"/>
            <w:vAlign w:val="center"/>
            <w:hideMark/>
          </w:tcPr>
          <w:p w:rsidR="0015685A" w:rsidRPr="0015685A" w:rsidRDefault="0015685A" w:rsidP="0015685A">
            <w:pPr>
              <w:spacing w:after="0" w:line="240" w:lineRule="auto"/>
              <w:jc w:val="center"/>
              <w:rPr>
                <w:rFonts w:ascii="Times New Roman" w:eastAsia="Times New Roman" w:hAnsi="Times New Roman" w:cs="Times New Roman"/>
                <w:color w:val="111111"/>
                <w:sz w:val="24"/>
                <w:szCs w:val="24"/>
                <w:lang w:eastAsia="es-ES"/>
              </w:rPr>
            </w:pPr>
            <w:r>
              <w:rPr>
                <w:rFonts w:ascii="Times New Roman" w:eastAsia="Times New Roman" w:hAnsi="Times New Roman" w:cs="Times New Roman"/>
                <w:noProof/>
                <w:color w:val="CC0000"/>
                <w:sz w:val="24"/>
                <w:szCs w:val="24"/>
                <w:lang w:eastAsia="es-ES"/>
              </w:rPr>
              <w:drawing>
                <wp:inline distT="0" distB="0" distL="0" distR="0">
                  <wp:extent cx="1450975" cy="1951990"/>
                  <wp:effectExtent l="19050" t="0" r="0" b="0"/>
                  <wp:docPr id="2" name="Imagen 2" descr="http://3.bp.blogspot.com/-kGShHhklpXs/VHGdAvzwLyI/AAAAAAAArGE/xAcjg3BF5A0/s1600/0001716605_560x560_jpg0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kGShHhklpXs/VHGdAvzwLyI/AAAAAAAArGE/xAcjg3BF5A0/s1600/0001716605_560x560_jpg000.jpg">
                            <a:hlinkClick r:id="rId6"/>
                          </pic:cNvPr>
                          <pic:cNvPicPr>
                            <a:picLocks noChangeAspect="1" noChangeArrowheads="1"/>
                          </pic:cNvPicPr>
                        </pic:nvPicPr>
                        <pic:blipFill>
                          <a:blip r:embed="rId7" cstate="print"/>
                          <a:srcRect/>
                          <a:stretch>
                            <a:fillRect/>
                          </a:stretch>
                        </pic:blipFill>
                        <pic:spPr bwMode="auto">
                          <a:xfrm>
                            <a:off x="0" y="0"/>
                            <a:ext cx="1450975" cy="1951990"/>
                          </a:xfrm>
                          <a:prstGeom prst="rect">
                            <a:avLst/>
                          </a:prstGeom>
                          <a:noFill/>
                          <a:ln w="9525">
                            <a:noFill/>
                            <a:miter lim="800000"/>
                            <a:headEnd/>
                            <a:tailEnd/>
                          </a:ln>
                        </pic:spPr>
                      </pic:pic>
                    </a:graphicData>
                  </a:graphic>
                </wp:inline>
              </w:drawing>
            </w:r>
          </w:p>
        </w:tc>
      </w:tr>
      <w:tr w:rsidR="0015685A" w:rsidRPr="0015685A" w:rsidTr="0015685A">
        <w:trPr>
          <w:tblCellSpacing w:w="0" w:type="dxa"/>
        </w:trPr>
        <w:tc>
          <w:tcPr>
            <w:tcW w:w="0" w:type="auto"/>
            <w:shd w:val="clear" w:color="auto" w:fill="FFFFFF"/>
            <w:vAlign w:val="center"/>
            <w:hideMark/>
          </w:tcPr>
          <w:p w:rsidR="0015685A" w:rsidRPr="0015685A" w:rsidRDefault="0015685A" w:rsidP="0015685A">
            <w:pPr>
              <w:spacing w:after="0" w:line="240" w:lineRule="auto"/>
              <w:jc w:val="center"/>
              <w:rPr>
                <w:rFonts w:ascii="Times New Roman" w:eastAsia="Times New Roman" w:hAnsi="Times New Roman" w:cs="Times New Roman"/>
                <w:color w:val="111111"/>
                <w:sz w:val="14"/>
                <w:szCs w:val="14"/>
                <w:lang w:eastAsia="es-ES"/>
              </w:rPr>
            </w:pPr>
            <w:r w:rsidRPr="0015685A">
              <w:rPr>
                <w:rFonts w:ascii="Times New Roman" w:eastAsia="Times New Roman" w:hAnsi="Times New Roman" w:cs="Times New Roman"/>
                <w:color w:val="111111"/>
                <w:sz w:val="14"/>
                <w:szCs w:val="14"/>
                <w:lang w:eastAsia="es-ES"/>
              </w:rPr>
              <w:t>Susana Díaz, con Pedro</w:t>
            </w:r>
            <w:r w:rsidRPr="0015685A">
              <w:rPr>
                <w:rFonts w:ascii="Times New Roman" w:eastAsia="Times New Roman" w:hAnsi="Times New Roman" w:cs="Times New Roman"/>
                <w:color w:val="111111"/>
                <w:sz w:val="14"/>
                <w:szCs w:val="14"/>
                <w:lang w:eastAsia="es-ES"/>
              </w:rPr>
              <w:br/>
              <w:t>Molina, en Almería</w:t>
            </w:r>
          </w:p>
        </w:tc>
      </w:tr>
    </w:tbl>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r w:rsidRPr="0015685A">
        <w:rPr>
          <w:rFonts w:ascii="Arial" w:eastAsia="Times New Roman" w:hAnsi="Arial" w:cs="Arial"/>
          <w:color w:val="111111"/>
          <w:sz w:val="17"/>
          <w:szCs w:val="17"/>
          <w:lang w:eastAsia="es-ES"/>
        </w:rPr>
        <w:t>La misma Susana Díaz, a la que le he solicitado con reiteración que abra expediente al Rector de</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Universidad</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 Almería, Pedro Molina García, por vulnerar</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Ley</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 incompatibilidades de</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Junta</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 xml:space="preserve">de Andalucía al aceptar asesorar a </w:t>
      </w:r>
      <w:proofErr w:type="spellStart"/>
      <w:r w:rsidRPr="0015685A">
        <w:rPr>
          <w:rFonts w:ascii="Arial" w:eastAsia="Times New Roman" w:hAnsi="Arial" w:cs="Arial"/>
          <w:color w:val="111111"/>
          <w:sz w:val="17"/>
          <w:szCs w:val="17"/>
          <w:lang w:eastAsia="es-ES"/>
        </w:rPr>
        <w:t>Caixabank</w:t>
      </w:r>
      <w:proofErr w:type="spellEnd"/>
      <w:r w:rsidRPr="0015685A">
        <w:rPr>
          <w:rFonts w:ascii="Arial" w:eastAsia="Times New Roman" w:hAnsi="Arial" w:cs="Arial"/>
          <w:color w:val="111111"/>
          <w:sz w:val="17"/>
          <w:szCs w:val="17"/>
          <w:lang w:eastAsia="es-ES"/>
        </w:rPr>
        <w:t xml:space="preserve"> al tiempo que gestiona el dinero público, guarda silencio en este otro caso. Y ello pese a ser competencia directa de</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la Junta</w:t>
      </w:r>
      <w:r w:rsidRPr="0015685A">
        <w:rPr>
          <w:rFonts w:ascii="Arial" w:eastAsia="Times New Roman" w:hAnsi="Arial" w:cs="Arial"/>
          <w:color w:val="111111"/>
          <w:sz w:val="17"/>
          <w:lang w:eastAsia="es-ES"/>
        </w:rPr>
        <w:t> </w:t>
      </w:r>
      <w:r w:rsidRPr="0015685A">
        <w:rPr>
          <w:rFonts w:ascii="Arial" w:eastAsia="Times New Roman" w:hAnsi="Arial" w:cs="Arial"/>
          <w:color w:val="111111"/>
          <w:sz w:val="17"/>
          <w:szCs w:val="17"/>
          <w:lang w:eastAsia="es-ES"/>
        </w:rPr>
        <w:t>de Andalucía y ser mucho más grave al ser aquel un alto cargo de la Administración que ella preside y tener obligación de abrir el correspondiente expediente para comprobar los hechos y, en el caso de ser ciertos como mantengo yo, sancionar al responsable. La sanción lleva pareja la inhabilitación para ejercer cargo público, pues es un hecho muy grave.</w:t>
      </w: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p>
    <w:p w:rsidR="0015685A" w:rsidRPr="0015685A" w:rsidRDefault="0015685A" w:rsidP="0015685A">
      <w:pPr>
        <w:shd w:val="clear" w:color="auto" w:fill="FFFFFF"/>
        <w:spacing w:after="0" w:line="240" w:lineRule="auto"/>
        <w:jc w:val="both"/>
        <w:rPr>
          <w:rFonts w:ascii="Arial" w:eastAsia="Times New Roman" w:hAnsi="Arial" w:cs="Arial"/>
          <w:color w:val="111111"/>
          <w:sz w:val="17"/>
          <w:szCs w:val="17"/>
          <w:lang w:eastAsia="es-ES"/>
        </w:rPr>
      </w:pPr>
      <w:r w:rsidRPr="0015685A">
        <w:rPr>
          <w:rFonts w:ascii="Arial" w:eastAsia="Times New Roman" w:hAnsi="Arial" w:cs="Arial"/>
          <w:color w:val="111111"/>
          <w:sz w:val="17"/>
          <w:szCs w:val="17"/>
          <w:lang w:eastAsia="es-ES"/>
        </w:rPr>
        <w:t>La explicación parece estar en que el rector Pedro Molina es de su mismo partido. Sinceramente, me parece una desvergüenza lo que está haciendo Susana Díaz al no cumplir con su obligación de abrir expediente por el hecho de ser militante de su propio partido.</w:t>
      </w:r>
    </w:p>
    <w:p w:rsidR="00C965BF" w:rsidRDefault="00C965BF" w:rsidP="0015685A"/>
    <w:p w:rsidR="0015685A" w:rsidRPr="0015685A" w:rsidRDefault="0015685A" w:rsidP="0015685A">
      <w:r w:rsidRPr="0015685A">
        <w:t>http://www.laopiniondealmeria.com/2014/11/las-distintas-varas-de-medir-de-susana.html</w:t>
      </w:r>
    </w:p>
    <w:sectPr w:rsidR="0015685A" w:rsidRPr="0015685A" w:rsidSect="00C965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revisionView w:inkAnnotations="0"/>
  <w:defaultTabStop w:val="708"/>
  <w:hyphenationZone w:val="425"/>
  <w:characterSpacingControl w:val="doNotCompress"/>
  <w:compat/>
  <w:rsids>
    <w:rsidRoot w:val="000E41EC"/>
    <w:rsid w:val="000742BD"/>
    <w:rsid w:val="000E41EC"/>
    <w:rsid w:val="0015685A"/>
    <w:rsid w:val="00C965BF"/>
    <w:rsid w:val="00D92E9D"/>
    <w:rsid w:val="00FE19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BF"/>
  </w:style>
  <w:style w:type="paragraph" w:styleId="Ttulo1">
    <w:name w:val="heading 1"/>
    <w:basedOn w:val="Normal"/>
    <w:next w:val="Normal"/>
    <w:link w:val="Ttulo1Car"/>
    <w:uiPriority w:val="9"/>
    <w:qFormat/>
    <w:rsid w:val="000E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E41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15685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1E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E41E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5685A"/>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5685A"/>
    <w:rPr>
      <w:color w:val="0000FF"/>
      <w:u w:val="single"/>
    </w:rPr>
  </w:style>
  <w:style w:type="character" w:customStyle="1" w:styleId="apple-converted-space">
    <w:name w:val="apple-converted-space"/>
    <w:basedOn w:val="Fuentedeprrafopredeter"/>
    <w:rsid w:val="0015685A"/>
  </w:style>
  <w:style w:type="paragraph" w:styleId="Textodeglobo">
    <w:name w:val="Balloon Text"/>
    <w:basedOn w:val="Normal"/>
    <w:link w:val="TextodegloboCar"/>
    <w:uiPriority w:val="99"/>
    <w:semiHidden/>
    <w:unhideWhenUsed/>
    <w:rsid w:val="001568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68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8539202">
      <w:bodyDiv w:val="1"/>
      <w:marLeft w:val="0"/>
      <w:marRight w:val="0"/>
      <w:marTop w:val="0"/>
      <w:marBottom w:val="0"/>
      <w:divBdr>
        <w:top w:val="none" w:sz="0" w:space="0" w:color="auto"/>
        <w:left w:val="none" w:sz="0" w:space="0" w:color="auto"/>
        <w:bottom w:val="none" w:sz="0" w:space="0" w:color="auto"/>
        <w:right w:val="none" w:sz="0" w:space="0" w:color="auto"/>
      </w:divBdr>
      <w:divsChild>
        <w:div w:id="992299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3.bp.blogspot.com/-kGShHhklpXs/VHGdAvzwLyI/AAAAAAAArGE/xAcjg3BF5A0/s1600/0001716605_560x560_jpg000.jpg" TargetMode="External"/><Relationship Id="rId5" Type="http://schemas.openxmlformats.org/officeDocument/2006/relationships/image" Target="media/image1.jpeg"/><Relationship Id="rId4" Type="http://schemas.openxmlformats.org/officeDocument/2006/relationships/hyperlink" Target="http://1.bp.blogspot.com/-HGbhRAKSXHA/VHGcWytyYSI/AAAAAAAArF8/Rwq2GTnPJE4/s1600/Jorge%2BLirola.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1629</Characters>
  <Application>Microsoft Office Word</Application>
  <DocSecurity>0</DocSecurity>
  <Lines>13</Lines>
  <Paragraphs>3</Paragraphs>
  <ScaleCrop>false</ScaleCrop>
  <Company>felipe</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dc:creator>
  <cp:keywords/>
  <dc:description/>
  <cp:lastModifiedBy>pep</cp:lastModifiedBy>
  <cp:revision>2</cp:revision>
  <dcterms:created xsi:type="dcterms:W3CDTF">2014-12-03T06:12:00Z</dcterms:created>
  <dcterms:modified xsi:type="dcterms:W3CDTF">2014-12-03T06:12:00Z</dcterms:modified>
</cp:coreProperties>
</file>